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A517E" w14:textId="6CE1D7E1" w:rsidR="001C31F1" w:rsidRPr="00F45BB4" w:rsidRDefault="001C31F1" w:rsidP="001C31F1">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23</w:t>
      </w:r>
      <w:r w:rsidRPr="00F45BB4">
        <w:rPr>
          <w:rFonts w:ascii="Arial" w:hAnsi="Arial"/>
          <w:b/>
          <w:i/>
          <w:noProof/>
          <w:sz w:val="28"/>
        </w:rPr>
        <w:tab/>
      </w:r>
      <w:r w:rsidRPr="002531C2">
        <w:rPr>
          <w:rFonts w:ascii="Arial" w:hAnsi="Arial"/>
          <w:b/>
          <w:noProof/>
          <w:sz w:val="28"/>
        </w:rPr>
        <w:t>R2-</w:t>
      </w:r>
      <w:r w:rsidR="0008515F">
        <w:rPr>
          <w:rFonts w:ascii="Arial" w:hAnsi="Arial"/>
          <w:b/>
          <w:noProof/>
          <w:sz w:val="28"/>
        </w:rPr>
        <w:t>2308705</w:t>
      </w:r>
      <w:r w:rsidRPr="006F10F6" w:rsidDel="006F10F6">
        <w:rPr>
          <w:rFonts w:ascii="Arial" w:hAnsi="Arial"/>
          <w:b/>
          <w:i/>
          <w:noProof/>
          <w:sz w:val="28"/>
          <w:lang w:eastAsia="zh-CN"/>
        </w:rPr>
        <w:t xml:space="preserve"> </w:t>
      </w:r>
    </w:p>
    <w:p w14:paraId="2BF52325" w14:textId="098BD9E4" w:rsidR="001C31F1" w:rsidRPr="00F45BB4" w:rsidRDefault="001C31F1" w:rsidP="001C31F1">
      <w:pPr>
        <w:tabs>
          <w:tab w:val="right" w:pos="9639"/>
        </w:tabs>
        <w:spacing w:after="0"/>
        <w:rPr>
          <w:rFonts w:ascii="Arial" w:hAnsi="Arial"/>
          <w:b/>
          <w:i/>
          <w:noProof/>
          <w:sz w:val="28"/>
          <w:lang w:val="en-US"/>
        </w:rPr>
      </w:pPr>
      <w:r w:rsidRPr="00B71691">
        <w:rPr>
          <w:rFonts w:ascii="Arial" w:hAnsi="Arial"/>
          <w:b/>
          <w:noProof/>
          <w:sz w:val="24"/>
        </w:rPr>
        <w:t>Toulouse</w:t>
      </w:r>
      <w:r>
        <w:rPr>
          <w:rFonts w:ascii="Arial" w:hAnsi="Arial"/>
          <w:b/>
          <w:noProof/>
          <w:sz w:val="24"/>
        </w:rPr>
        <w:t>, France</w:t>
      </w:r>
      <w:r w:rsidRPr="00F45BB4">
        <w:rPr>
          <w:rFonts w:ascii="Arial" w:hAnsi="Arial"/>
          <w:b/>
          <w:noProof/>
          <w:sz w:val="24"/>
        </w:rPr>
        <w:t>,</w:t>
      </w:r>
      <w:r w:rsidRPr="000771BA">
        <w:t xml:space="preserve"> </w:t>
      </w:r>
      <w:r>
        <w:rPr>
          <w:rFonts w:ascii="Arial" w:hAnsi="Arial"/>
          <w:b/>
          <w:noProof/>
          <w:sz w:val="24"/>
        </w:rPr>
        <w:t>21</w:t>
      </w:r>
      <w:r>
        <w:t xml:space="preserve"> </w:t>
      </w:r>
      <w:r>
        <w:rPr>
          <w:rFonts w:ascii="Arial" w:hAnsi="Arial"/>
          <w:b/>
          <w:noProof/>
          <w:sz w:val="24"/>
        </w:rPr>
        <w:t>Aug</w:t>
      </w:r>
      <w:r w:rsidR="0008515F">
        <w:rPr>
          <w:rFonts w:ascii="Arial" w:hAnsi="Arial"/>
          <w:b/>
          <w:noProof/>
          <w:sz w:val="24"/>
        </w:rPr>
        <w:t>u</w:t>
      </w:r>
      <w:r>
        <w:rPr>
          <w:rFonts w:ascii="Arial" w:hAnsi="Arial"/>
          <w:b/>
          <w:noProof/>
          <w:sz w:val="24"/>
        </w:rPr>
        <w:t>st</w:t>
      </w:r>
      <w:r w:rsidRPr="000771BA">
        <w:rPr>
          <w:rFonts w:ascii="Arial" w:hAnsi="Arial"/>
          <w:b/>
          <w:noProof/>
          <w:sz w:val="24"/>
        </w:rPr>
        <w:t xml:space="preserve"> </w:t>
      </w:r>
      <w:r>
        <w:rPr>
          <w:rFonts w:ascii="Arial" w:hAnsi="Arial"/>
          <w:b/>
          <w:noProof/>
          <w:sz w:val="24"/>
        </w:rPr>
        <w:t>– 25 Aug</w:t>
      </w:r>
      <w:r w:rsidR="0008515F">
        <w:rPr>
          <w:rFonts w:ascii="Arial" w:hAnsi="Arial"/>
          <w:b/>
          <w:noProof/>
          <w:sz w:val="24"/>
        </w:rPr>
        <w:t>u</w:t>
      </w:r>
      <w:r>
        <w:rPr>
          <w:rFonts w:ascii="Arial" w:hAnsi="Arial"/>
          <w:b/>
          <w:noProof/>
          <w:sz w:val="24"/>
        </w:rPr>
        <w:t xml:space="preserve">st </w:t>
      </w:r>
      <w:r w:rsidRPr="00F45BB4">
        <w:rPr>
          <w:rFonts w:ascii="Arial" w:hAnsi="Arial"/>
          <w:b/>
          <w:noProof/>
          <w:sz w:val="24"/>
        </w:rPr>
        <w:t>202</w:t>
      </w:r>
      <w:r>
        <w:rPr>
          <w:rFonts w:ascii="Arial" w:hAnsi="Arial"/>
          <w:b/>
          <w:noProof/>
          <w:sz w:val="24"/>
        </w:rPr>
        <w:t xml:space="preserve">3               (revision of </w:t>
      </w:r>
      <w:r w:rsidRPr="00CE1614">
        <w:rPr>
          <w:rFonts w:ascii="Arial" w:hAnsi="Arial"/>
          <w:b/>
          <w:noProof/>
          <w:sz w:val="24"/>
        </w:rPr>
        <w:t>R2-</w:t>
      </w:r>
      <w:r w:rsidRPr="00460FA9">
        <w:rPr>
          <w:rFonts w:ascii="Arial" w:hAnsi="Arial"/>
          <w:b/>
          <w:noProof/>
          <w:sz w:val="24"/>
        </w:rPr>
        <w:t>230</w:t>
      </w:r>
      <w:r w:rsidRPr="001C31F1">
        <w:rPr>
          <w:rFonts w:ascii="Arial" w:hAnsi="Arial"/>
          <w:b/>
          <w:noProof/>
          <w:sz w:val="24"/>
        </w:rPr>
        <w:t>6218</w:t>
      </w:r>
      <w:r>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2F944C7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C0C">
        <w:rPr>
          <w:rFonts w:ascii="Arial" w:hAnsi="Arial" w:cs="Arial"/>
          <w:b/>
          <w:sz w:val="24"/>
        </w:rPr>
        <w:t>7</w:t>
      </w:r>
      <w:r w:rsidR="00852E14">
        <w:rPr>
          <w:rFonts w:ascii="Arial" w:hAnsi="Arial" w:cs="Arial"/>
          <w:b/>
          <w:sz w:val="24"/>
        </w:rPr>
        <w:t>.</w:t>
      </w:r>
      <w:r w:rsidR="000C648E">
        <w:rPr>
          <w:rFonts w:ascii="Arial" w:hAnsi="Arial" w:cs="Arial"/>
          <w:b/>
          <w:sz w:val="24"/>
        </w:rPr>
        <w:t>8.</w:t>
      </w:r>
      <w:r w:rsidR="001D2B78">
        <w:rPr>
          <w:rFonts w:ascii="Arial" w:hAnsi="Arial" w:cs="Arial"/>
          <w:b/>
          <w:sz w:val="24"/>
        </w:rPr>
        <w:t>5</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bookmarkStart w:id="0" w:name="_GoBack"/>
      <w:bookmarkEnd w:id="0"/>
    </w:p>
    <w:p w14:paraId="30F1B016" w14:textId="54D35A0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E3661D">
        <w:rPr>
          <w:rFonts w:ascii="Arial" w:hAnsi="Arial" w:cs="Arial"/>
          <w:b/>
          <w:sz w:val="24"/>
        </w:rPr>
        <w:t>Further d</w:t>
      </w:r>
      <w:r w:rsidR="00872C0C">
        <w:rPr>
          <w:rFonts w:ascii="Arial" w:hAnsi="Arial" w:cs="Arial"/>
          <w:b/>
          <w:sz w:val="24"/>
        </w:rPr>
        <w:t>iscussion</w:t>
      </w:r>
      <w:r w:rsidR="009C485C" w:rsidRPr="009C485C">
        <w:rPr>
          <w:rFonts w:ascii="Arial" w:hAnsi="Arial" w:cs="Arial"/>
          <w:b/>
          <w:sz w:val="24"/>
        </w:rPr>
        <w:t xml:space="preserve"> on UAV remote identification broadcast</w:t>
      </w:r>
    </w:p>
    <w:p w14:paraId="42FD130F" w14:textId="445C2720"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30134025" w14:textId="62848C70" w:rsidR="009F457F" w:rsidRDefault="00E348FB">
      <w:r w:rsidRPr="00371309">
        <w:rPr>
          <w:lang w:val="x-none"/>
        </w:rPr>
        <w:t>In RAN</w:t>
      </w:r>
      <w:r>
        <w:rPr>
          <w:lang w:val="x-none"/>
        </w:rPr>
        <w:t>2</w:t>
      </w:r>
      <w:r w:rsidRPr="00371309">
        <w:rPr>
          <w:lang w:val="x-none"/>
        </w:rPr>
        <w:t xml:space="preserve"> meeting #</w:t>
      </w:r>
      <w:r>
        <w:rPr>
          <w:lang w:val="x-none"/>
        </w:rPr>
        <w:t>121-bis</w:t>
      </w:r>
      <w:r w:rsidRPr="00371309">
        <w:rPr>
          <w:lang w:val="x-none"/>
        </w:rPr>
        <w:t xml:space="preserve">, </w:t>
      </w:r>
      <w:r>
        <w:t>the following agreements have been reached regarding UAV ID broadcast for NR UAVs</w:t>
      </w:r>
      <w:r w:rsidRPr="00371309">
        <w:rPr>
          <w:lang w:val="x-none"/>
        </w:rPr>
        <w:t>:</w:t>
      </w:r>
    </w:p>
    <w:p w14:paraId="7E6688AB" w14:textId="77777777" w:rsidR="00B30AA6" w:rsidRDefault="00B30AA6" w:rsidP="00B30AA6">
      <w:pPr>
        <w:pStyle w:val="Doc-text2"/>
        <w:pBdr>
          <w:top w:val="single" w:sz="4" w:space="1" w:color="auto"/>
          <w:left w:val="single" w:sz="4" w:space="4" w:color="auto"/>
          <w:bottom w:val="single" w:sz="4" w:space="1" w:color="auto"/>
          <w:right w:val="single" w:sz="4" w:space="4" w:color="auto"/>
        </w:pBdr>
        <w:ind w:leftChars="29" w:left="421"/>
      </w:pPr>
      <w:r>
        <w:t>Agreements:</w:t>
      </w:r>
    </w:p>
    <w:p w14:paraId="3E9601BB" w14:textId="77777777" w:rsidR="00B30AA6" w:rsidRPr="00510A18"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10A18">
        <w:t xml:space="preserve">DAA can be supported using the same framework as used for BRID transmission over the LTE and NR PC5 interface, without any specific enhancements. </w:t>
      </w:r>
    </w:p>
    <w:p w14:paraId="1BCD3548"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10A18">
        <w:t xml:space="preserve">LTE PC5 Mode-4 resource allocation is supported, and LTE PC5 Mode-3 is not supported </w:t>
      </w:r>
    </w:p>
    <w:p w14:paraId="2A81D689"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C53208">
        <w:t xml:space="preserve">NR PC5 mode-1 </w:t>
      </w:r>
      <w:r>
        <w:t xml:space="preserve">is not supported </w:t>
      </w:r>
    </w:p>
    <w:p w14:paraId="52101545"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C46D26">
        <w:t>For LTE PC5, we will follow the NR PC5 framework agreements, unless explicitly identified e.g. a strong technical reason</w:t>
      </w:r>
    </w:p>
    <w:p w14:paraId="4E0CC731"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711F2">
        <w:t xml:space="preserve">RAN2 </w:t>
      </w:r>
      <w:r>
        <w:t>assumes</w:t>
      </w:r>
      <w:r w:rsidRPr="005711F2">
        <w:t xml:space="preserve"> that BRID and DAA services will be delivered on a frequency designated by regulators</w:t>
      </w:r>
    </w:p>
    <w:p w14:paraId="5B427572"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As a baseline, we will use the existing V2X QoS framework.  </w:t>
      </w:r>
      <w:r w:rsidRPr="00B30AA6">
        <w:t>FFS whether different resource pools are needed for UAV services</w:t>
      </w:r>
      <w:r>
        <w:t xml:space="preserve">  </w:t>
      </w:r>
    </w:p>
    <w:p w14:paraId="1FA07DAB"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No further enhancement on </w:t>
      </w:r>
      <w:r w:rsidRPr="0027380E">
        <w:t xml:space="preserve">PC5 range </w:t>
      </w:r>
      <w:r>
        <w:t>for</w:t>
      </w:r>
      <w:r w:rsidRPr="0027380E">
        <w:t xml:space="preserve"> A2X broadcast services will be pursued in this release</w:t>
      </w:r>
    </w:p>
    <w:p w14:paraId="6B01C822" w14:textId="77777777" w:rsidR="00B30AA6" w:rsidRPr="0027380E"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We will </w:t>
      </w:r>
      <w:r w:rsidRPr="00510A18">
        <w:t>not investigate interference for BRID and DAA broadcast</w:t>
      </w:r>
    </w:p>
    <w:p w14:paraId="3E67B757"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Send an</w:t>
      </w:r>
      <w:r w:rsidRPr="00510A18">
        <w:t xml:space="preserve"> LS to SA2 to</w:t>
      </w:r>
      <w:r>
        <w:t>:</w:t>
      </w:r>
    </w:p>
    <w:p w14:paraId="2BF1492B" w14:textId="77777777" w:rsidR="00B30AA6" w:rsidRPr="00510A18" w:rsidRDefault="00B30AA6" w:rsidP="00B30AA6">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Chars="210" w:left="690" w:hanging="270"/>
      </w:pPr>
      <w:r w:rsidRPr="00510A18">
        <w:t xml:space="preserve">inform them </w:t>
      </w:r>
      <w:r>
        <w:t xml:space="preserve">as a result of RAN Plenary decision to re-use BRID RAN2 will </w:t>
      </w:r>
      <w:r w:rsidRPr="00510A18">
        <w:t>only support PC5 broadcast for deconfliction in RAN in release 18.</w:t>
      </w:r>
    </w:p>
    <w:p w14:paraId="15BFEE07" w14:textId="26840457" w:rsidR="00B30AA6" w:rsidRPr="00B30AA6" w:rsidRDefault="00B30AA6" w:rsidP="00B30AA6">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Chars="210" w:left="690" w:hanging="270"/>
      </w:pPr>
      <w:r w:rsidRPr="008E1ACB">
        <w:t>ask SA2 whether BRID and DAA broadcast over LTE and NR PC5 requires new QoS requirements</w:t>
      </w:r>
      <w:r>
        <w:t xml:space="preserve"> and parameters</w:t>
      </w:r>
      <w:r w:rsidRPr="008E1ACB">
        <w:t xml:space="preserve"> not supported within the ranges supported for V2X</w:t>
      </w:r>
    </w:p>
    <w:p w14:paraId="3C0D49E7" w14:textId="3E2AD234" w:rsidR="00B13434" w:rsidRPr="00B13434" w:rsidRDefault="00A45A1E" w:rsidP="00A27DD3">
      <w:pPr>
        <w:spacing w:before="120" w:after="120"/>
        <w:jc w:val="both"/>
        <w:rPr>
          <w:rFonts w:eastAsia="SimSun"/>
          <w:lang w:eastAsia="zh-CN"/>
        </w:rPr>
      </w:pPr>
      <w:r w:rsidRPr="00371309">
        <w:rPr>
          <w:lang w:val="x-none"/>
        </w:rPr>
        <w:t>In RAN</w:t>
      </w:r>
      <w:r>
        <w:rPr>
          <w:lang w:val="x-none"/>
        </w:rPr>
        <w:t>2</w:t>
      </w:r>
      <w:r w:rsidRPr="00371309">
        <w:rPr>
          <w:lang w:val="x-none"/>
        </w:rPr>
        <w:t xml:space="preserve"> meeting #</w:t>
      </w:r>
      <w:r>
        <w:rPr>
          <w:lang w:val="x-none"/>
        </w:rPr>
        <w:t>122</w:t>
      </w:r>
      <w:r w:rsidRPr="00371309">
        <w:rPr>
          <w:lang w:val="x-none"/>
        </w:rPr>
        <w:t xml:space="preserve">, </w:t>
      </w:r>
      <w:r>
        <w:t>no agreements were achieved due to the time limitation.</w:t>
      </w:r>
      <w:r w:rsidR="000A0A77">
        <w:t xml:space="preserve"> </w:t>
      </w:r>
      <w:r w:rsidR="00E468E5">
        <w:t xml:space="preserve">In this paper, we will discuss the SA2 LS replies. </w:t>
      </w:r>
    </w:p>
    <w:p w14:paraId="71184F72" w14:textId="45C6380C" w:rsidR="00FC6DF5" w:rsidRP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p>
    <w:p w14:paraId="030DD500" w14:textId="46FE1750" w:rsidR="00193F96" w:rsidRDefault="00C2103A" w:rsidP="00402645">
      <w:bookmarkStart w:id="1" w:name="_Hlk100497352"/>
      <w:r>
        <w:t>In SA2 #157's meeting, SA2 replied to RAN2’s LS. For the RAN2 question "whether BRID and DAA broadcast over LTE and NR PC5 require new QoS requirements and parameters not supported within the ranges supported for V2X". The replies were as follows:</w:t>
      </w:r>
    </w:p>
    <w:p w14:paraId="637ECD08" w14:textId="5677AE01" w:rsidR="0090613B" w:rsidRDefault="0090613B" w:rsidP="00402645">
      <w:pPr>
        <w:rPr>
          <w:i/>
        </w:rPr>
      </w:pPr>
      <w:r w:rsidRPr="0090613B">
        <w:rPr>
          <w:i/>
        </w:rPr>
        <w:t>SA2 discussed that defining new PQI(PC5 5QI) value(s) is beneficial for BRID and DAA over NR PC5 so that the transport layers can distinguish A2X services from V2X services if differentiated handling is needed. The related CR work will be progressed in the future meeting. Please note that using the existing PQI values for BRID and DAA over NR PC5 is not restricted. For BRID and DAA over LTE PC5, it is considered that the existing QoS framework can be used.</w:t>
      </w:r>
    </w:p>
    <w:p w14:paraId="485B4F4E" w14:textId="4DFFE546" w:rsidR="0090613B" w:rsidRPr="0090613B" w:rsidRDefault="0090613B" w:rsidP="00402645">
      <w:pPr>
        <w:rPr>
          <w:rFonts w:eastAsiaTheme="minorEastAsia"/>
          <w:lang w:eastAsia="zh-CN"/>
        </w:rPr>
      </w:pPr>
      <w:r>
        <w:rPr>
          <w:rFonts w:eastAsiaTheme="minorEastAsia" w:hint="eastAsia"/>
          <w:lang w:eastAsia="zh-CN"/>
        </w:rPr>
        <w:t>W</w:t>
      </w:r>
      <w:r>
        <w:rPr>
          <w:rFonts w:eastAsiaTheme="minorEastAsia"/>
          <w:lang w:eastAsia="zh-CN"/>
        </w:rPr>
        <w:t xml:space="preserve">e can see that SA2 will define new PQI value(s) for BRID and DAA over NR PC5. It is used </w:t>
      </w:r>
      <w:r w:rsidR="00C2103A">
        <w:rPr>
          <w:rFonts w:eastAsiaTheme="minorEastAsia"/>
          <w:lang w:eastAsia="zh-CN"/>
        </w:rPr>
        <w:t>to</w:t>
      </w:r>
      <w:r>
        <w:rPr>
          <w:rFonts w:eastAsiaTheme="minorEastAsia"/>
          <w:lang w:eastAsia="zh-CN"/>
        </w:rPr>
        <w:t xml:space="preserve"> distinguish A2X services from V2X services. </w:t>
      </w:r>
      <w:r w:rsidR="000D2FC3">
        <w:rPr>
          <w:rFonts w:eastAsiaTheme="minorEastAsia"/>
          <w:lang w:eastAsia="zh-CN"/>
        </w:rPr>
        <w:t xml:space="preserve">It is clear that there </w:t>
      </w:r>
      <w:r w:rsidR="00C2103A">
        <w:rPr>
          <w:rFonts w:eastAsiaTheme="minorEastAsia"/>
          <w:lang w:eastAsia="zh-CN"/>
        </w:rPr>
        <w:t>is</w:t>
      </w:r>
      <w:r w:rsidR="000D2FC3">
        <w:rPr>
          <w:rFonts w:eastAsiaTheme="minorEastAsia"/>
          <w:lang w:eastAsia="zh-CN"/>
        </w:rPr>
        <w:t xml:space="preserve"> no PC5 impact for the new PQI for A2X.</w:t>
      </w:r>
      <w:r w:rsidR="000D2FC3">
        <w:rPr>
          <w:rFonts w:eastAsiaTheme="minorEastAsia" w:hint="eastAsia"/>
          <w:lang w:eastAsia="zh-CN"/>
        </w:rPr>
        <w:t xml:space="preserve"> </w:t>
      </w:r>
      <w:r w:rsidR="000D2FC3">
        <w:rPr>
          <w:rFonts w:eastAsiaTheme="minorEastAsia"/>
          <w:lang w:eastAsia="zh-CN"/>
        </w:rPr>
        <w:t xml:space="preserve">In addition, </w:t>
      </w:r>
      <w:r w:rsidR="000D2FC3">
        <w:t xml:space="preserve">SA2 has defined </w:t>
      </w:r>
      <w:r w:rsidR="00C2103A">
        <w:t xml:space="preserve">an </w:t>
      </w:r>
      <w:r w:rsidR="000D2FC3">
        <w:t xml:space="preserve">A2X layer for aircraft communication by leveraging </w:t>
      </w:r>
      <w:r w:rsidR="00C2103A">
        <w:t xml:space="preserve">the </w:t>
      </w:r>
      <w:r w:rsidR="000D2FC3">
        <w:t xml:space="preserve">V2X mechanism [1]. There are also no further requirements. </w:t>
      </w:r>
      <w:r w:rsidR="000D2FC3">
        <w:rPr>
          <w:rFonts w:eastAsiaTheme="minorEastAsia"/>
          <w:lang w:eastAsia="zh-CN"/>
        </w:rPr>
        <w:t>Thus, n</w:t>
      </w:r>
      <w:r w:rsidR="000D2FC3" w:rsidRPr="000D2FC3">
        <w:rPr>
          <w:rFonts w:eastAsiaTheme="minorEastAsia"/>
          <w:lang w:eastAsia="zh-CN"/>
        </w:rPr>
        <w:t>o PC5 enhancement is needed for A2X communication.</w:t>
      </w:r>
    </w:p>
    <w:p w14:paraId="6D305411" w14:textId="6B6627B3" w:rsidR="00193F96" w:rsidRDefault="00193F96" w:rsidP="00402645">
      <w:pPr>
        <w:rPr>
          <w:b/>
        </w:rPr>
      </w:pPr>
      <w:r w:rsidRPr="00B8652A">
        <w:rPr>
          <w:rFonts w:eastAsiaTheme="minorEastAsia"/>
          <w:b/>
          <w:lang w:eastAsia="zh-CN"/>
        </w:rPr>
        <w:t xml:space="preserve">Proposal </w:t>
      </w:r>
      <w:r>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0D2FC3">
        <w:rPr>
          <w:b/>
        </w:rPr>
        <w:t>No PC5 enhancement is needed for A2X communication.</w:t>
      </w:r>
    </w:p>
    <w:p w14:paraId="490DFB02" w14:textId="5A73D590" w:rsidR="000D2FC3" w:rsidRDefault="000D2FC3" w:rsidP="00402645">
      <w:pPr>
        <w:rPr>
          <w:rFonts w:eastAsiaTheme="minorEastAsia"/>
          <w:lang w:eastAsia="zh-CN"/>
        </w:rPr>
      </w:pPr>
      <w:r>
        <w:rPr>
          <w:rFonts w:eastAsiaTheme="minorEastAsia"/>
          <w:lang w:eastAsia="zh-CN"/>
        </w:rPr>
        <w:t xml:space="preserve">SA2 also </w:t>
      </w:r>
      <w:r w:rsidR="007D38E5">
        <w:rPr>
          <w:rFonts w:eastAsiaTheme="minorEastAsia"/>
          <w:lang w:eastAsia="zh-CN"/>
        </w:rPr>
        <w:t>replies</w:t>
      </w:r>
      <w:r w:rsidR="00C2103A">
        <w:rPr>
          <w:rFonts w:eastAsiaTheme="minorEastAsia"/>
          <w:lang w:eastAsia="zh-CN"/>
        </w:rPr>
        <w:t xml:space="preserve"> to</w:t>
      </w:r>
      <w:r w:rsidR="007D38E5">
        <w:rPr>
          <w:rFonts w:eastAsiaTheme="minorEastAsia"/>
          <w:lang w:eastAsia="zh-CN"/>
        </w:rPr>
        <w:t xml:space="preserve"> the agreement </w:t>
      </w:r>
      <w:r w:rsidR="00C2103A">
        <w:rPr>
          <w:rFonts w:eastAsiaTheme="minorEastAsia"/>
          <w:lang w:eastAsia="zh-CN"/>
        </w:rPr>
        <w:t>that</w:t>
      </w:r>
      <w:r w:rsidR="007D38E5">
        <w:rPr>
          <w:rFonts w:eastAsiaTheme="minorEastAsia"/>
          <w:lang w:eastAsia="zh-CN"/>
        </w:rPr>
        <w:t xml:space="preserve"> DAA service delivery only uses broadcast. The replies</w:t>
      </w:r>
      <w:r w:rsidR="00C2103A">
        <w:rPr>
          <w:rFonts w:eastAsiaTheme="minorEastAsia"/>
          <w:lang w:eastAsia="zh-CN"/>
        </w:rPr>
        <w:t xml:space="preserve"> were</w:t>
      </w:r>
      <w:r w:rsidR="007D38E5">
        <w:rPr>
          <w:rFonts w:eastAsiaTheme="minorEastAsia"/>
          <w:lang w:eastAsia="zh-CN"/>
        </w:rPr>
        <w:t xml:space="preserve"> as follows:</w:t>
      </w:r>
    </w:p>
    <w:p w14:paraId="32174F91" w14:textId="40A31BE9" w:rsidR="007D38E5" w:rsidRDefault="007D38E5" w:rsidP="00402645">
      <w:pPr>
        <w:rPr>
          <w:rFonts w:eastAsiaTheme="minorEastAsia"/>
          <w:i/>
          <w:lang w:eastAsia="zh-CN"/>
        </w:rPr>
      </w:pPr>
      <w:r w:rsidRPr="007D38E5">
        <w:rPr>
          <w:rFonts w:eastAsiaTheme="minorEastAsia"/>
          <w:i/>
          <w:lang w:eastAsia="zh-CN"/>
        </w:rPr>
        <w:t>SA2 specified DAA mechanism using broadcast, as well as DAA mechanism using unicast over NR PC5 by reusing the unicast mode V2X communication as specified in TS 23.287. Because the contents related to DAA transmitted over PC5 reference point are transparent not only to the A2X layer but also to the AS layer, SA2's understanding is that DAA specific enhancements to the existing unicast communication are not needed and the work carried out in RAN2 supports what is defined in SA2.</w:t>
      </w:r>
    </w:p>
    <w:p w14:paraId="4C72986E" w14:textId="55F84A3C" w:rsidR="007D38E5" w:rsidRDefault="007D38E5" w:rsidP="00402645">
      <w:pPr>
        <w:rPr>
          <w:rFonts w:eastAsiaTheme="minorEastAsia"/>
          <w:lang w:eastAsia="zh-CN"/>
        </w:rPr>
      </w:pPr>
      <w:r>
        <w:rPr>
          <w:rFonts w:eastAsiaTheme="minorEastAsia" w:hint="eastAsia"/>
          <w:lang w:eastAsia="zh-CN"/>
        </w:rPr>
        <w:t>S</w:t>
      </w:r>
      <w:r>
        <w:rPr>
          <w:rFonts w:eastAsiaTheme="minorEastAsia"/>
          <w:lang w:eastAsia="zh-CN"/>
        </w:rPr>
        <w:t>A2 points</w:t>
      </w:r>
      <w:r w:rsidR="00C2103A">
        <w:rPr>
          <w:rFonts w:eastAsiaTheme="minorEastAsia"/>
          <w:lang w:eastAsia="zh-CN"/>
        </w:rPr>
        <w:t xml:space="preserve"> out</w:t>
      </w:r>
      <w:r>
        <w:rPr>
          <w:rFonts w:eastAsiaTheme="minorEastAsia"/>
          <w:lang w:eastAsia="zh-CN"/>
        </w:rPr>
        <w:t xml:space="preserve"> that </w:t>
      </w:r>
      <w:r w:rsidR="00C2103A">
        <w:rPr>
          <w:rFonts w:eastAsiaTheme="minorEastAsia"/>
          <w:lang w:eastAsia="zh-CN"/>
        </w:rPr>
        <w:t xml:space="preserve">the </w:t>
      </w:r>
      <w:r>
        <w:rPr>
          <w:rFonts w:eastAsiaTheme="minorEastAsia"/>
          <w:lang w:eastAsia="zh-CN"/>
        </w:rPr>
        <w:t xml:space="preserve">DAA mechanism can use unicast over NR PC5 by reusing the unicast mode of V2X communication. The contents of </w:t>
      </w:r>
      <w:r w:rsidR="00C2103A">
        <w:rPr>
          <w:rFonts w:eastAsiaTheme="minorEastAsia"/>
          <w:lang w:eastAsia="zh-CN"/>
        </w:rPr>
        <w:t xml:space="preserve">the </w:t>
      </w:r>
      <w:r>
        <w:rPr>
          <w:rFonts w:eastAsiaTheme="minorEastAsia"/>
          <w:lang w:eastAsia="zh-CN"/>
        </w:rPr>
        <w:t>DAA message are transparent to</w:t>
      </w:r>
      <w:r w:rsidR="00C2103A">
        <w:rPr>
          <w:rFonts w:eastAsiaTheme="minorEastAsia"/>
          <w:lang w:eastAsia="zh-CN"/>
        </w:rPr>
        <w:t xml:space="preserve"> the</w:t>
      </w:r>
      <w:r>
        <w:rPr>
          <w:rFonts w:eastAsiaTheme="minorEastAsia"/>
          <w:lang w:eastAsia="zh-CN"/>
        </w:rPr>
        <w:t xml:space="preserve"> A2X and AS layer</w:t>
      </w:r>
      <w:r w:rsidR="00C2103A">
        <w:rPr>
          <w:rFonts w:eastAsiaTheme="minorEastAsia"/>
          <w:lang w:eastAsia="zh-CN"/>
        </w:rPr>
        <w:t>s</w:t>
      </w:r>
      <w:r>
        <w:rPr>
          <w:rFonts w:eastAsiaTheme="minorEastAsia"/>
          <w:lang w:eastAsia="zh-CN"/>
        </w:rPr>
        <w:t xml:space="preserve"> and there </w:t>
      </w:r>
      <w:r w:rsidR="00C2103A">
        <w:rPr>
          <w:rFonts w:eastAsiaTheme="minorEastAsia"/>
          <w:lang w:eastAsia="zh-CN"/>
        </w:rPr>
        <w:t>is</w:t>
      </w:r>
      <w:r>
        <w:rPr>
          <w:rFonts w:eastAsiaTheme="minorEastAsia"/>
          <w:lang w:eastAsia="zh-CN"/>
        </w:rPr>
        <w:t xml:space="preserve"> no RAN2 impact </w:t>
      </w:r>
      <w:r w:rsidR="00C2103A">
        <w:rPr>
          <w:rFonts w:eastAsiaTheme="minorEastAsia"/>
          <w:lang w:eastAsia="zh-CN"/>
        </w:rPr>
        <w:t>or</w:t>
      </w:r>
      <w:r>
        <w:rPr>
          <w:rFonts w:eastAsiaTheme="minorEastAsia"/>
          <w:lang w:eastAsia="zh-CN"/>
        </w:rPr>
        <w:t xml:space="preserve"> wor</w:t>
      </w:r>
      <w:r w:rsidR="00226514">
        <w:rPr>
          <w:rFonts w:eastAsiaTheme="minorEastAsia"/>
          <w:lang w:eastAsia="zh-CN"/>
        </w:rPr>
        <w:t>k</w:t>
      </w:r>
      <w:r>
        <w:rPr>
          <w:rFonts w:eastAsiaTheme="minorEastAsia"/>
          <w:lang w:eastAsia="zh-CN"/>
        </w:rPr>
        <w:t xml:space="preserve"> load.</w:t>
      </w:r>
      <w:r w:rsidR="00226514">
        <w:rPr>
          <w:rFonts w:eastAsiaTheme="minorEastAsia"/>
          <w:lang w:eastAsia="zh-CN"/>
        </w:rPr>
        <w:t xml:space="preserve"> Thus, </w:t>
      </w:r>
      <w:r w:rsidR="00C2103A">
        <w:rPr>
          <w:rFonts w:eastAsiaTheme="minorEastAsia"/>
          <w:lang w:eastAsia="zh-CN"/>
        </w:rPr>
        <w:t>based</w:t>
      </w:r>
      <w:r w:rsidR="00226514">
        <w:rPr>
          <w:rFonts w:eastAsiaTheme="minorEastAsia"/>
          <w:lang w:eastAsia="zh-CN"/>
        </w:rPr>
        <w:t xml:space="preserve"> </w:t>
      </w:r>
      <w:r w:rsidR="00C2103A">
        <w:rPr>
          <w:rFonts w:eastAsiaTheme="minorEastAsia"/>
          <w:lang w:eastAsia="zh-CN"/>
        </w:rPr>
        <w:t>on</w:t>
      </w:r>
      <w:r w:rsidR="00226514" w:rsidRPr="00226514">
        <w:rPr>
          <w:rFonts w:eastAsiaTheme="minorEastAsia"/>
          <w:lang w:eastAsia="zh-CN"/>
        </w:rPr>
        <w:t xml:space="preserve"> </w:t>
      </w:r>
      <w:r w:rsidR="00C2103A">
        <w:rPr>
          <w:rFonts w:eastAsiaTheme="minorEastAsia"/>
          <w:lang w:eastAsia="zh-CN"/>
        </w:rPr>
        <w:t xml:space="preserve">the </w:t>
      </w:r>
      <w:r w:rsidR="00226514" w:rsidRPr="00226514">
        <w:rPr>
          <w:rFonts w:eastAsiaTheme="minorEastAsia"/>
          <w:lang w:eastAsia="zh-CN"/>
        </w:rPr>
        <w:t>SA2 reply, the unicast DAA via PC5 can be supported only if no PC5 enhancement is needed.</w:t>
      </w:r>
    </w:p>
    <w:p w14:paraId="713FAB80" w14:textId="239112D9" w:rsidR="00226514" w:rsidRPr="00226514" w:rsidRDefault="00226514" w:rsidP="00402645">
      <w:pPr>
        <w:rPr>
          <w:b/>
        </w:rPr>
      </w:pPr>
      <w:r w:rsidRPr="00B8652A">
        <w:rPr>
          <w:rFonts w:eastAsiaTheme="minorEastAsia"/>
          <w:b/>
          <w:lang w:eastAsia="zh-CN"/>
        </w:rPr>
        <w:t xml:space="preserve">Proposal </w:t>
      </w:r>
      <w:r w:rsidR="00D127DA">
        <w:rPr>
          <w:rFonts w:eastAsiaTheme="minorEastAsia"/>
          <w:b/>
          <w:lang w:eastAsia="zh-CN"/>
        </w:rPr>
        <w:t>2</w:t>
      </w:r>
      <w:r w:rsidRPr="00B8652A">
        <w:rPr>
          <w:rFonts w:eastAsiaTheme="minorEastAsia"/>
          <w:b/>
          <w:lang w:eastAsia="zh-CN"/>
        </w:rPr>
        <w:t>:</w:t>
      </w:r>
      <w:r>
        <w:rPr>
          <w:b/>
        </w:rPr>
        <w:t xml:space="preserve"> Based on</w:t>
      </w:r>
      <w:r w:rsidRPr="00226514">
        <w:rPr>
          <w:b/>
        </w:rPr>
        <w:t xml:space="preserve"> </w:t>
      </w:r>
      <w:r w:rsidR="00C2103A">
        <w:rPr>
          <w:b/>
        </w:rPr>
        <w:t xml:space="preserve">the </w:t>
      </w:r>
      <w:r w:rsidRPr="00226514">
        <w:rPr>
          <w:b/>
        </w:rPr>
        <w:t>SA2 reply, the unicast DAA via PC5 can be supported if no PC5 enhancement is needed.</w:t>
      </w:r>
    </w:p>
    <w:p w14:paraId="7AFCDCCF" w14:textId="62600CBF"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bookmarkEnd w:id="1"/>
    <w:p w14:paraId="307C9B2D" w14:textId="6426BF78" w:rsidR="00E66A2B" w:rsidRDefault="00E66A2B" w:rsidP="00B67798">
      <w:pPr>
        <w:rPr>
          <w:b/>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C2103A">
        <w:rPr>
          <w:b/>
        </w:rPr>
        <w:t>No PC5 enhancement is needed for A2X communication.</w:t>
      </w:r>
    </w:p>
    <w:p w14:paraId="00840C52" w14:textId="45AB39BD" w:rsidR="00D127DA" w:rsidRDefault="00D127DA" w:rsidP="00B67798">
      <w:pPr>
        <w:rPr>
          <w:b/>
        </w:rPr>
      </w:pPr>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Pr>
          <w:b/>
        </w:rPr>
        <w:t xml:space="preserve"> </w:t>
      </w:r>
      <w:r w:rsidR="00C2103A">
        <w:rPr>
          <w:b/>
        </w:rPr>
        <w:t>Based on</w:t>
      </w:r>
      <w:r w:rsidR="00C2103A" w:rsidRPr="00226514">
        <w:rPr>
          <w:b/>
        </w:rPr>
        <w:t xml:space="preserve"> </w:t>
      </w:r>
      <w:r w:rsidR="00C2103A">
        <w:rPr>
          <w:b/>
        </w:rPr>
        <w:t xml:space="preserve">the </w:t>
      </w:r>
      <w:r w:rsidR="00C2103A" w:rsidRPr="00226514">
        <w:rPr>
          <w:b/>
        </w:rPr>
        <w:t>SA2 reply, the unicast DAA via PC5 can be supported if no PC5 enhancement is needed.</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21A7ECCD" w14:textId="0E6FD646" w:rsidR="000D2FC3" w:rsidRPr="00990EA5" w:rsidRDefault="00DB11B9" w:rsidP="000D2FC3">
      <w:pPr>
        <w:pStyle w:val="ListParagraph"/>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 </w:t>
      </w:r>
      <w:r w:rsidR="000D2FC3" w:rsidRPr="00990EA5">
        <w:rPr>
          <w:rFonts w:ascii="Times New Roman" w:eastAsiaTheme="minorEastAsia" w:hAnsi="Times New Roman"/>
          <w:sz w:val="20"/>
          <w:szCs w:val="20"/>
          <w:lang w:eastAsia="zh-CN"/>
        </w:rPr>
        <w:t xml:space="preserve">3GPP TS 23.256: "Support of </w:t>
      </w:r>
      <w:proofErr w:type="spellStart"/>
      <w:r w:rsidR="000D2FC3" w:rsidRPr="00990EA5">
        <w:rPr>
          <w:rFonts w:ascii="Times New Roman" w:eastAsiaTheme="minorEastAsia" w:hAnsi="Times New Roman"/>
          <w:sz w:val="20"/>
          <w:szCs w:val="20"/>
          <w:lang w:eastAsia="zh-CN"/>
        </w:rPr>
        <w:t>Uncrewed</w:t>
      </w:r>
      <w:proofErr w:type="spellEnd"/>
      <w:r w:rsidR="000D2FC3" w:rsidRPr="00990EA5">
        <w:rPr>
          <w:rFonts w:ascii="Times New Roman" w:eastAsiaTheme="minorEastAsia" w:hAnsi="Times New Roman"/>
          <w:sz w:val="20"/>
          <w:szCs w:val="20"/>
          <w:lang w:eastAsia="zh-CN"/>
        </w:rPr>
        <w:t xml:space="preserve"> Aerial Systems (UAS) connectivity, identification and tracking; Stage 2".</w:t>
      </w:r>
    </w:p>
    <w:p w14:paraId="7B28EFD1" w14:textId="2806A300" w:rsidR="002E6029" w:rsidRPr="000D2FC3" w:rsidRDefault="002E6029" w:rsidP="00DB11B9">
      <w:pPr>
        <w:pStyle w:val="ListParagraph"/>
        <w:ind w:left="360" w:firstLineChars="0" w:firstLine="0"/>
        <w:rPr>
          <w:rFonts w:ascii="Times New Roman" w:eastAsiaTheme="minorEastAsia" w:hAnsi="Times New Roman"/>
          <w:sz w:val="20"/>
          <w:szCs w:val="20"/>
          <w:lang w:eastAsia="zh-CN"/>
        </w:rPr>
      </w:pPr>
    </w:p>
    <w:sectPr w:rsidR="002E6029" w:rsidRPr="000D2FC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EB3F0" w14:textId="77777777" w:rsidR="00E46F21" w:rsidRDefault="00E46F21">
      <w:pPr>
        <w:spacing w:after="0"/>
      </w:pPr>
      <w:r>
        <w:separator/>
      </w:r>
    </w:p>
  </w:endnote>
  <w:endnote w:type="continuationSeparator" w:id="0">
    <w:p w14:paraId="699FD4D9" w14:textId="77777777" w:rsidR="00E46F21" w:rsidRDefault="00E46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AA7C1" w14:textId="77777777" w:rsidR="00E46F21" w:rsidRDefault="00E46F21">
      <w:pPr>
        <w:spacing w:after="0"/>
      </w:pPr>
      <w:r>
        <w:separator/>
      </w:r>
    </w:p>
  </w:footnote>
  <w:footnote w:type="continuationSeparator" w:id="0">
    <w:p w14:paraId="4D9B78DA" w14:textId="77777777" w:rsidR="00E46F21" w:rsidRDefault="00E46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6"/>
  </w:num>
  <w:num w:numId="3">
    <w:abstractNumId w:val="7"/>
  </w:num>
  <w:num w:numId="4">
    <w:abstractNumId w:val="0"/>
  </w:num>
  <w:num w:numId="5">
    <w:abstractNumId w:val="8"/>
  </w:num>
  <w:num w:numId="6">
    <w:abstractNumId w:val="3"/>
  </w:num>
  <w:num w:numId="7">
    <w:abstractNumId w:val="5"/>
  </w:num>
  <w:num w:numId="8">
    <w:abstractNumId w:val="2"/>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0EC0"/>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15F"/>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43D"/>
    <w:rsid w:val="000D1C7F"/>
    <w:rsid w:val="000D26F0"/>
    <w:rsid w:val="000D2FC3"/>
    <w:rsid w:val="000D4096"/>
    <w:rsid w:val="000D522F"/>
    <w:rsid w:val="000D53F9"/>
    <w:rsid w:val="000D5B03"/>
    <w:rsid w:val="000D5D7E"/>
    <w:rsid w:val="000D6AA6"/>
    <w:rsid w:val="000D7393"/>
    <w:rsid w:val="000D7998"/>
    <w:rsid w:val="000E1010"/>
    <w:rsid w:val="000E352C"/>
    <w:rsid w:val="000E36A4"/>
    <w:rsid w:val="000E4653"/>
    <w:rsid w:val="000E56B5"/>
    <w:rsid w:val="000E5A52"/>
    <w:rsid w:val="000E5BF3"/>
    <w:rsid w:val="000E6199"/>
    <w:rsid w:val="000E76F2"/>
    <w:rsid w:val="000F236A"/>
    <w:rsid w:val="000F356C"/>
    <w:rsid w:val="000F70A8"/>
    <w:rsid w:val="00100018"/>
    <w:rsid w:val="001012A4"/>
    <w:rsid w:val="00101ABE"/>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02B4"/>
    <w:rsid w:val="00181799"/>
    <w:rsid w:val="00182ECC"/>
    <w:rsid w:val="001836EA"/>
    <w:rsid w:val="0018507E"/>
    <w:rsid w:val="00187965"/>
    <w:rsid w:val="001907D4"/>
    <w:rsid w:val="001912DE"/>
    <w:rsid w:val="00192624"/>
    <w:rsid w:val="00193F96"/>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1F1"/>
    <w:rsid w:val="001C346C"/>
    <w:rsid w:val="001C3BF5"/>
    <w:rsid w:val="001C4F85"/>
    <w:rsid w:val="001C5567"/>
    <w:rsid w:val="001D206F"/>
    <w:rsid w:val="001D253C"/>
    <w:rsid w:val="001D2B78"/>
    <w:rsid w:val="001D360C"/>
    <w:rsid w:val="001D6A5B"/>
    <w:rsid w:val="001D7314"/>
    <w:rsid w:val="001D788E"/>
    <w:rsid w:val="001E0225"/>
    <w:rsid w:val="001E22D1"/>
    <w:rsid w:val="001E2BF6"/>
    <w:rsid w:val="001E2EF1"/>
    <w:rsid w:val="001E5471"/>
    <w:rsid w:val="001E6322"/>
    <w:rsid w:val="001E7B5F"/>
    <w:rsid w:val="001F075D"/>
    <w:rsid w:val="001F63E3"/>
    <w:rsid w:val="001F74FF"/>
    <w:rsid w:val="001F7B4F"/>
    <w:rsid w:val="00200768"/>
    <w:rsid w:val="00200789"/>
    <w:rsid w:val="002020F0"/>
    <w:rsid w:val="002027A9"/>
    <w:rsid w:val="00203AC6"/>
    <w:rsid w:val="00204403"/>
    <w:rsid w:val="002052D9"/>
    <w:rsid w:val="00206C18"/>
    <w:rsid w:val="0021012C"/>
    <w:rsid w:val="002119B5"/>
    <w:rsid w:val="00211F05"/>
    <w:rsid w:val="002149A3"/>
    <w:rsid w:val="00224319"/>
    <w:rsid w:val="00226514"/>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4E3"/>
    <w:rsid w:val="002A32BC"/>
    <w:rsid w:val="002A443F"/>
    <w:rsid w:val="002A5E25"/>
    <w:rsid w:val="002A60AA"/>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2"/>
    <w:rsid w:val="003033CC"/>
    <w:rsid w:val="003034FA"/>
    <w:rsid w:val="003043B0"/>
    <w:rsid w:val="003064C7"/>
    <w:rsid w:val="00307807"/>
    <w:rsid w:val="0030785A"/>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5FB"/>
    <w:rsid w:val="0039269E"/>
    <w:rsid w:val="003933E9"/>
    <w:rsid w:val="003945DE"/>
    <w:rsid w:val="00394DC6"/>
    <w:rsid w:val="00395121"/>
    <w:rsid w:val="003A4FC8"/>
    <w:rsid w:val="003A50E8"/>
    <w:rsid w:val="003A7655"/>
    <w:rsid w:val="003A7F22"/>
    <w:rsid w:val="003B1BB4"/>
    <w:rsid w:val="003B2FDD"/>
    <w:rsid w:val="003B567C"/>
    <w:rsid w:val="003B6073"/>
    <w:rsid w:val="003C07A4"/>
    <w:rsid w:val="003C0E9D"/>
    <w:rsid w:val="003C5CD8"/>
    <w:rsid w:val="003C6354"/>
    <w:rsid w:val="003D25DE"/>
    <w:rsid w:val="003D278D"/>
    <w:rsid w:val="003D2FD2"/>
    <w:rsid w:val="003D375C"/>
    <w:rsid w:val="003D37EE"/>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D7E"/>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5290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430"/>
    <w:rsid w:val="005E3606"/>
    <w:rsid w:val="005E5800"/>
    <w:rsid w:val="005E751B"/>
    <w:rsid w:val="005F054A"/>
    <w:rsid w:val="005F41F2"/>
    <w:rsid w:val="005F4F99"/>
    <w:rsid w:val="005F7203"/>
    <w:rsid w:val="005F746B"/>
    <w:rsid w:val="005F7EAD"/>
    <w:rsid w:val="005F7F59"/>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4F99"/>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4842"/>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B5A6E"/>
    <w:rsid w:val="006C3D2F"/>
    <w:rsid w:val="006C419D"/>
    <w:rsid w:val="006C4B7B"/>
    <w:rsid w:val="006C5B9A"/>
    <w:rsid w:val="006C6092"/>
    <w:rsid w:val="006C6AB3"/>
    <w:rsid w:val="006C704D"/>
    <w:rsid w:val="006C720C"/>
    <w:rsid w:val="006C73E9"/>
    <w:rsid w:val="006D38FE"/>
    <w:rsid w:val="006D4F01"/>
    <w:rsid w:val="006D5D70"/>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FD3"/>
    <w:rsid w:val="00755EED"/>
    <w:rsid w:val="007621F2"/>
    <w:rsid w:val="00762500"/>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38E5"/>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7C1"/>
    <w:rsid w:val="00803996"/>
    <w:rsid w:val="0080504D"/>
    <w:rsid w:val="00806008"/>
    <w:rsid w:val="00806833"/>
    <w:rsid w:val="0081023C"/>
    <w:rsid w:val="00811539"/>
    <w:rsid w:val="00811973"/>
    <w:rsid w:val="00811AAC"/>
    <w:rsid w:val="008142AD"/>
    <w:rsid w:val="00814F2B"/>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0753"/>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C0C"/>
    <w:rsid w:val="00872E9C"/>
    <w:rsid w:val="00873BF3"/>
    <w:rsid w:val="00874160"/>
    <w:rsid w:val="00874291"/>
    <w:rsid w:val="0087578C"/>
    <w:rsid w:val="008812EB"/>
    <w:rsid w:val="00881866"/>
    <w:rsid w:val="008829C5"/>
    <w:rsid w:val="00883A6F"/>
    <w:rsid w:val="00884326"/>
    <w:rsid w:val="008878B7"/>
    <w:rsid w:val="008910E5"/>
    <w:rsid w:val="00892CEA"/>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1622"/>
    <w:rsid w:val="008F4E12"/>
    <w:rsid w:val="008F5BF3"/>
    <w:rsid w:val="008F6CEB"/>
    <w:rsid w:val="008F6D8A"/>
    <w:rsid w:val="008F7600"/>
    <w:rsid w:val="00900041"/>
    <w:rsid w:val="009008F6"/>
    <w:rsid w:val="00901208"/>
    <w:rsid w:val="009013E7"/>
    <w:rsid w:val="00904D94"/>
    <w:rsid w:val="0090613B"/>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17B"/>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0EA5"/>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3864"/>
    <w:rsid w:val="009B4DD1"/>
    <w:rsid w:val="009B56B9"/>
    <w:rsid w:val="009B5E49"/>
    <w:rsid w:val="009B6592"/>
    <w:rsid w:val="009C114A"/>
    <w:rsid w:val="009C32D4"/>
    <w:rsid w:val="009C3489"/>
    <w:rsid w:val="009C440B"/>
    <w:rsid w:val="009C485C"/>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4C78"/>
    <w:rsid w:val="00A17901"/>
    <w:rsid w:val="00A17DF7"/>
    <w:rsid w:val="00A206E8"/>
    <w:rsid w:val="00A2466A"/>
    <w:rsid w:val="00A24AFD"/>
    <w:rsid w:val="00A2549F"/>
    <w:rsid w:val="00A25AE0"/>
    <w:rsid w:val="00A2669D"/>
    <w:rsid w:val="00A27DD3"/>
    <w:rsid w:val="00A30A73"/>
    <w:rsid w:val="00A33225"/>
    <w:rsid w:val="00A34BA3"/>
    <w:rsid w:val="00A34D8F"/>
    <w:rsid w:val="00A35B0D"/>
    <w:rsid w:val="00A36088"/>
    <w:rsid w:val="00A36154"/>
    <w:rsid w:val="00A42711"/>
    <w:rsid w:val="00A42D64"/>
    <w:rsid w:val="00A42E20"/>
    <w:rsid w:val="00A43E5A"/>
    <w:rsid w:val="00A4573A"/>
    <w:rsid w:val="00A45A1E"/>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76FF5"/>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274C3"/>
    <w:rsid w:val="00B30AA6"/>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7"/>
    <w:rsid w:val="00B54588"/>
    <w:rsid w:val="00B54A75"/>
    <w:rsid w:val="00B54BF1"/>
    <w:rsid w:val="00B57A03"/>
    <w:rsid w:val="00B57C45"/>
    <w:rsid w:val="00B57EFD"/>
    <w:rsid w:val="00B60766"/>
    <w:rsid w:val="00B6201C"/>
    <w:rsid w:val="00B62216"/>
    <w:rsid w:val="00B62D11"/>
    <w:rsid w:val="00B635B9"/>
    <w:rsid w:val="00B63793"/>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05A"/>
    <w:rsid w:val="00BA32AD"/>
    <w:rsid w:val="00BA5749"/>
    <w:rsid w:val="00BA64D2"/>
    <w:rsid w:val="00BA70D8"/>
    <w:rsid w:val="00BA7687"/>
    <w:rsid w:val="00BB1F7B"/>
    <w:rsid w:val="00BB58DD"/>
    <w:rsid w:val="00BB7DF8"/>
    <w:rsid w:val="00BB7EA3"/>
    <w:rsid w:val="00BC0F52"/>
    <w:rsid w:val="00BC1D4A"/>
    <w:rsid w:val="00BC524B"/>
    <w:rsid w:val="00BC59B1"/>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0D0C"/>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6B3F"/>
    <w:rsid w:val="00C07444"/>
    <w:rsid w:val="00C07BF0"/>
    <w:rsid w:val="00C10A43"/>
    <w:rsid w:val="00C10B26"/>
    <w:rsid w:val="00C138C5"/>
    <w:rsid w:val="00C13D66"/>
    <w:rsid w:val="00C141B9"/>
    <w:rsid w:val="00C14301"/>
    <w:rsid w:val="00C167CC"/>
    <w:rsid w:val="00C16B22"/>
    <w:rsid w:val="00C172BD"/>
    <w:rsid w:val="00C177FE"/>
    <w:rsid w:val="00C17AB4"/>
    <w:rsid w:val="00C17CC9"/>
    <w:rsid w:val="00C207D9"/>
    <w:rsid w:val="00C2103A"/>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BE9"/>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58B0"/>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0CB"/>
    <w:rsid w:val="00CB5D8A"/>
    <w:rsid w:val="00CB691C"/>
    <w:rsid w:val="00CC23EA"/>
    <w:rsid w:val="00CC2664"/>
    <w:rsid w:val="00CC2DB7"/>
    <w:rsid w:val="00CC4C2B"/>
    <w:rsid w:val="00CC6D3C"/>
    <w:rsid w:val="00CD0DB9"/>
    <w:rsid w:val="00CD5911"/>
    <w:rsid w:val="00CD6FBC"/>
    <w:rsid w:val="00CD7D72"/>
    <w:rsid w:val="00CD7E21"/>
    <w:rsid w:val="00CE5564"/>
    <w:rsid w:val="00CE563E"/>
    <w:rsid w:val="00CE6BD4"/>
    <w:rsid w:val="00CE74A6"/>
    <w:rsid w:val="00CF0CF3"/>
    <w:rsid w:val="00CF290E"/>
    <w:rsid w:val="00CF4B37"/>
    <w:rsid w:val="00CF5C55"/>
    <w:rsid w:val="00CF71CD"/>
    <w:rsid w:val="00D03B6D"/>
    <w:rsid w:val="00D03E5B"/>
    <w:rsid w:val="00D051FB"/>
    <w:rsid w:val="00D06518"/>
    <w:rsid w:val="00D06CFE"/>
    <w:rsid w:val="00D06E9A"/>
    <w:rsid w:val="00D07EE5"/>
    <w:rsid w:val="00D10138"/>
    <w:rsid w:val="00D11F4C"/>
    <w:rsid w:val="00D127DA"/>
    <w:rsid w:val="00D12A82"/>
    <w:rsid w:val="00D13F19"/>
    <w:rsid w:val="00D14140"/>
    <w:rsid w:val="00D14825"/>
    <w:rsid w:val="00D15C6A"/>
    <w:rsid w:val="00D21365"/>
    <w:rsid w:val="00D21743"/>
    <w:rsid w:val="00D21FBB"/>
    <w:rsid w:val="00D23F10"/>
    <w:rsid w:val="00D25160"/>
    <w:rsid w:val="00D258E7"/>
    <w:rsid w:val="00D25B31"/>
    <w:rsid w:val="00D25C1A"/>
    <w:rsid w:val="00D26DF4"/>
    <w:rsid w:val="00D311CD"/>
    <w:rsid w:val="00D33C5F"/>
    <w:rsid w:val="00D34079"/>
    <w:rsid w:val="00D3562F"/>
    <w:rsid w:val="00D36846"/>
    <w:rsid w:val="00D40C07"/>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2E2"/>
    <w:rsid w:val="00D60866"/>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1B9"/>
    <w:rsid w:val="00DB163C"/>
    <w:rsid w:val="00DB18E7"/>
    <w:rsid w:val="00DB2F33"/>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59BD"/>
    <w:rsid w:val="00DE6E60"/>
    <w:rsid w:val="00DF1002"/>
    <w:rsid w:val="00DF2AEA"/>
    <w:rsid w:val="00DF396C"/>
    <w:rsid w:val="00E00753"/>
    <w:rsid w:val="00E01B89"/>
    <w:rsid w:val="00E0381D"/>
    <w:rsid w:val="00E03A79"/>
    <w:rsid w:val="00E04058"/>
    <w:rsid w:val="00E0469F"/>
    <w:rsid w:val="00E070D6"/>
    <w:rsid w:val="00E07379"/>
    <w:rsid w:val="00E07564"/>
    <w:rsid w:val="00E07891"/>
    <w:rsid w:val="00E07A72"/>
    <w:rsid w:val="00E07F00"/>
    <w:rsid w:val="00E10155"/>
    <w:rsid w:val="00E10925"/>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48FB"/>
    <w:rsid w:val="00E351CD"/>
    <w:rsid w:val="00E355D5"/>
    <w:rsid w:val="00E36136"/>
    <w:rsid w:val="00E3661D"/>
    <w:rsid w:val="00E3786A"/>
    <w:rsid w:val="00E40248"/>
    <w:rsid w:val="00E41060"/>
    <w:rsid w:val="00E41314"/>
    <w:rsid w:val="00E41CA9"/>
    <w:rsid w:val="00E43D30"/>
    <w:rsid w:val="00E444D7"/>
    <w:rsid w:val="00E4487D"/>
    <w:rsid w:val="00E44E7B"/>
    <w:rsid w:val="00E458FF"/>
    <w:rsid w:val="00E468E5"/>
    <w:rsid w:val="00E46F21"/>
    <w:rsid w:val="00E5461C"/>
    <w:rsid w:val="00E55901"/>
    <w:rsid w:val="00E576EE"/>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0E"/>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027"/>
    <w:rsid w:val="00F1475C"/>
    <w:rsid w:val="00F179DA"/>
    <w:rsid w:val="00F206AC"/>
    <w:rsid w:val="00F219B8"/>
    <w:rsid w:val="00F2587C"/>
    <w:rsid w:val="00F25C0D"/>
    <w:rsid w:val="00F27508"/>
    <w:rsid w:val="00F31162"/>
    <w:rsid w:val="00F33962"/>
    <w:rsid w:val="00F33D44"/>
    <w:rsid w:val="00F34C0B"/>
    <w:rsid w:val="00F3619C"/>
    <w:rsid w:val="00F36B90"/>
    <w:rsid w:val="00F376FB"/>
    <w:rsid w:val="00F40726"/>
    <w:rsid w:val="00F411BA"/>
    <w:rsid w:val="00F41251"/>
    <w:rsid w:val="00F418BA"/>
    <w:rsid w:val="00F421E8"/>
    <w:rsid w:val="00F429D9"/>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488A"/>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4CA4"/>
    <w:rsid w:val="00FE63CA"/>
    <w:rsid w:val="00FE722A"/>
    <w:rsid w:val="00FF0E55"/>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439109741">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599095724">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BD7E-CA4C-4574-8101-86FE77C5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Simone Provvedi</cp:lastModifiedBy>
  <cp:revision>13</cp:revision>
  <dcterms:created xsi:type="dcterms:W3CDTF">2023-05-10T08:18:00Z</dcterms:created>
  <dcterms:modified xsi:type="dcterms:W3CDTF">2023-08-11T02:25:00Z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(3)B2CztTsjF1p1FM9W+V9CbtUSYLLb1uu3/rbw9W69Gtx7tOP+Vm0Sp9EuYlzB/cWXhNnUoDEz
re8DQfJqrL1wTO9E3+9eyo+p/9yFckUyoJqfcK9/yT8c7QIjnrdsL96DhhFCmndVuEP1GjWM
OQIO1TgpHBXIutgCx8/jXvainWATdJ3gjTF3Qt3Qg/LkXpLE1J5TXRmHpI5mqQAu+jx24oFu
V8oL23DX8DwRjrcK2G</vt:lpwstr>
  </property>
  <property fmtid="{D5CDD505-2E9C-101B-9397-08002B2CF9AE}" pid="3" name="_2015_ms_pID_7253431">
    <vt:lpwstr>eJGsLZvE2CddpasLD8PGkGEg8Xu6TyjuZuft4sCjqY2+eSsMYxDpgr
KUJqQEx1CIhx9u6lau41VoPIQQ9voc47+fSvj7wTgZv71BnBa2R5C6WPMGrWBKJKBuEEiADg
7+/rBLRGnn5lRPQS7nMeXyZuEyeM4KBFB3iZdcrafN5sYXRbjNvCw3f6NcDjKd3dh1+UfIlF
ksfF2eQgd5Jn+aqzLLGRXOb+RN7L24LJRT2L</vt:lpwstr>
  </property>
  <property fmtid="{D5CDD505-2E9C-101B-9397-08002B2CF9AE}" pid="4" name="_2015_ms_pID_7253432">
    <vt:lpwstr>QvLeZw7/m2FtXvYo+fkGoCM=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